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9EA" w:rsidRDefault="008439EA">
      <w:pPr>
        <w:pStyle w:val="1"/>
      </w:pPr>
      <w:hyperlink r:id="rId5" w:history="1">
        <w:r>
          <w:rPr>
            <w:rStyle w:val="a4"/>
            <w:b/>
            <w:bCs/>
          </w:rPr>
          <w:t>Письмо Департамента налоговой политики Минфина России от 1 сентября 2020 г. N 03-03-05/76496</w:t>
        </w:r>
      </w:hyperlink>
    </w:p>
    <w:p w:rsidR="008439EA" w:rsidRDefault="008439EA"/>
    <w:p w:rsidR="008439EA" w:rsidRDefault="008439EA">
      <w:r>
        <w:t>Департамент налоговой политики в связи с письмом рассмотрел</w:t>
      </w:r>
      <w:hyperlink r:id="rId6" w:history="1">
        <w:r>
          <w:rPr>
            <w:rStyle w:val="a4"/>
            <w:shd w:val="clear" w:color="auto" w:fill="F0F0F0"/>
          </w:rPr>
          <w:t>#</w:t>
        </w:r>
      </w:hyperlink>
      <w:r>
        <w:t xml:space="preserve"> и сообщает следующее.</w:t>
      </w:r>
    </w:p>
    <w:p w:rsidR="008439EA" w:rsidRDefault="008439EA"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27.06.2020 N 938 "Об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займам" (далее - постановление N 938) определяются предельные размеры займов для одного члена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за счет средств компенсационного фонда обеспечения договорных обязательств таких саморегулируемых организаций (далее соответственно - заем, саморегулируемая организация, компенсационный фонд), предельные значения процентов за пользование такими займами, предельный срок их предоставления, цели их предоставления, требования к членам саморегулируемых организаций, которым могут быть предоставлены указанные займы, и порядок контроля за использованием средств, предоставленных по таким займам.</w:t>
      </w:r>
    </w:p>
    <w:p w:rsidR="008439EA" w:rsidRDefault="008439EA">
      <w:r>
        <w:t xml:space="preserve">В соответствии с </w:t>
      </w:r>
      <w:hyperlink r:id="rId8" w:history="1">
        <w:r>
          <w:rPr>
            <w:rStyle w:val="a4"/>
          </w:rPr>
          <w:t>пунктом 7 статьи 13</w:t>
        </w:r>
      </w:hyperlink>
      <w:r>
        <w:t xml:space="preserve"> Федерального закона от 01.12.2007 N 315-ФЗ "О саморегулируемых организациях" доход, полученный от размещения и инвестирования средств компенсационного фонда, направляется на пополнение компенсационного фонда и покрытие расходов, связанных с обеспечением надлежащих условий инвестирования средств компенсационного фонда.</w:t>
      </w:r>
    </w:p>
    <w:p w:rsidR="008439EA" w:rsidRDefault="008439EA">
      <w:hyperlink r:id="rId9" w:history="1">
        <w:r>
          <w:rPr>
            <w:rStyle w:val="a4"/>
          </w:rPr>
          <w:t>Статьей 247</w:t>
        </w:r>
      </w:hyperlink>
      <w:r>
        <w:t xml:space="preserve"> Налогового кодекса Российской Федерации (далее - НК РФ) определено, что объектом налогообложения по налогу на прибыль организаций является прибыль, полученная налогоплательщиком. Прибылью признаются полученные доходы, уменьшенные на величину произведенных расходов, определенных в порядке, установленном </w:t>
      </w:r>
      <w:hyperlink r:id="rId10" w:history="1">
        <w:r>
          <w:rPr>
            <w:rStyle w:val="a4"/>
          </w:rPr>
          <w:t>главой 25</w:t>
        </w:r>
      </w:hyperlink>
      <w:r>
        <w:t xml:space="preserve"> "Налог на прибыль организаций" НК РФ.</w:t>
      </w:r>
    </w:p>
    <w:p w:rsidR="008439EA" w:rsidRDefault="008439EA">
      <w:r>
        <w:t xml:space="preserve">Согласно положениям </w:t>
      </w:r>
      <w:hyperlink r:id="rId11" w:history="1">
        <w:r>
          <w:rPr>
            <w:rStyle w:val="a4"/>
          </w:rPr>
          <w:t>пункта 1 статьи 248</w:t>
        </w:r>
      </w:hyperlink>
      <w:r>
        <w:t xml:space="preserve"> НК РФ к доходам в целях налогообложения прибыли организаций относятся доходы от реализации товаров (работ, услуг) и имущественных прав (</w:t>
      </w:r>
      <w:hyperlink r:id="rId12" w:history="1">
        <w:r>
          <w:rPr>
            <w:rStyle w:val="a4"/>
          </w:rPr>
          <w:t>статья 249</w:t>
        </w:r>
      </w:hyperlink>
      <w:r>
        <w:t xml:space="preserve"> НК РФ) и внереализационные доходы (</w:t>
      </w:r>
      <w:hyperlink r:id="rId13" w:history="1">
        <w:r>
          <w:rPr>
            <w:rStyle w:val="a4"/>
          </w:rPr>
          <w:t>статья 250</w:t>
        </w:r>
      </w:hyperlink>
      <w:r>
        <w:t xml:space="preserve"> НК РФ).</w:t>
      </w:r>
    </w:p>
    <w:p w:rsidR="008439EA" w:rsidRDefault="008439EA">
      <w:r>
        <w:t xml:space="preserve">Согласно </w:t>
      </w:r>
      <w:hyperlink r:id="rId14" w:history="1">
        <w:r>
          <w:rPr>
            <w:rStyle w:val="a4"/>
          </w:rPr>
          <w:t>пункту 6 статьи 250</w:t>
        </w:r>
      </w:hyperlink>
      <w:r>
        <w:t xml:space="preserve"> НК РФ внереализационными доходами налогоплательщика признаются доходы в виде процентов, полученных по договорам займа, кредита, банковского счета, банковского вклада, а также по ценным бумагам и другим долговым обязательствам (особенности определения доходов банков в виде процентов устанавливаются </w:t>
      </w:r>
      <w:hyperlink r:id="rId15" w:history="1">
        <w:r>
          <w:rPr>
            <w:rStyle w:val="a4"/>
          </w:rPr>
          <w:t>статьей 290</w:t>
        </w:r>
      </w:hyperlink>
      <w:r>
        <w:t xml:space="preserve"> НК РФ).</w:t>
      </w:r>
    </w:p>
    <w:p w:rsidR="008439EA" w:rsidRDefault="008439EA">
      <w:r>
        <w:t xml:space="preserve">При этом в </w:t>
      </w:r>
      <w:hyperlink r:id="rId16" w:history="1">
        <w:r>
          <w:rPr>
            <w:rStyle w:val="a4"/>
          </w:rPr>
          <w:t>статье 251</w:t>
        </w:r>
      </w:hyperlink>
      <w:r>
        <w:t xml:space="preserve"> НК РФ установлен исчерпывающий перечень доходов, не учитываемых при определении налоговой базы по налогу на прибыль организаций. В указанном перечне не поименованы доходы в виде процентов, полученных саморегулируемыми организациями от займов, предоставляемых членам, в соответствии с </w:t>
      </w:r>
      <w:hyperlink r:id="rId17" w:history="1">
        <w:r>
          <w:rPr>
            <w:rStyle w:val="a4"/>
          </w:rPr>
          <w:t>постановлением</w:t>
        </w:r>
      </w:hyperlink>
      <w:r>
        <w:t xml:space="preserve"> N 938.</w:t>
      </w:r>
    </w:p>
    <w:p w:rsidR="008439EA" w:rsidRDefault="008439EA">
      <w:r>
        <w:t>Таким образом, указанные доходы саморегулируемых организаций подлежат учету в целях налогообложения прибыли в составе внереализационных доходов.</w:t>
      </w:r>
    </w:p>
    <w:p w:rsidR="008439EA" w:rsidRDefault="008439EA">
      <w:r>
        <w:t xml:space="preserve">При этом </w:t>
      </w:r>
      <w:hyperlink r:id="rId18" w:history="1">
        <w:r>
          <w:rPr>
            <w:rStyle w:val="a4"/>
          </w:rPr>
          <w:t>глава 25</w:t>
        </w:r>
      </w:hyperlink>
      <w:r>
        <w:t xml:space="preserve"> "Налог на прибыль организаций" НК РФ не содержит положений, устанавливающих особенности уплаты саморегулируемой организацией налога на прибыль с вышеупомянутых доходов.</w:t>
      </w:r>
    </w:p>
    <w:p w:rsidR="008439EA" w:rsidRDefault="008439EA">
      <w:r>
        <w:t xml:space="preserve">В этой связи уплата налога на прибыль саморегулируемой организацией производится в порядке, установленном </w:t>
      </w:r>
      <w:hyperlink r:id="rId19" w:history="1">
        <w:r>
          <w:rPr>
            <w:rStyle w:val="a4"/>
          </w:rPr>
          <w:t>статьей 287</w:t>
        </w:r>
      </w:hyperlink>
      <w:r>
        <w:t xml:space="preserve"> НК РФ. Положения данной статьи НК РФ не определяют источник уплаты налога на прибыль.</w:t>
      </w:r>
    </w:p>
    <w:p w:rsidR="008439EA" w:rsidRDefault="008439E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8439EA" w:rsidRPr="008439E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439EA" w:rsidRPr="008439EA" w:rsidRDefault="008439EA">
            <w:pPr>
              <w:pStyle w:val="a8"/>
            </w:pPr>
            <w:r w:rsidRPr="008439EA">
              <w:t>Заместитель директора Департамента налоговой политики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439EA" w:rsidRPr="008439EA" w:rsidRDefault="008439EA">
            <w:pPr>
              <w:pStyle w:val="a7"/>
              <w:jc w:val="right"/>
            </w:pPr>
            <w:r w:rsidRPr="008439EA">
              <w:t>А.А. Смирнов</w:t>
            </w:r>
          </w:p>
        </w:tc>
      </w:tr>
    </w:tbl>
    <w:p w:rsidR="008439EA" w:rsidRDefault="008439EA"/>
    <w:sectPr w:rsidR="008439E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B92"/>
    <w:rsid w:val="007F4B92"/>
    <w:rsid w:val="008439EA"/>
    <w:rsid w:val="0088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01E72-9A38-48FE-B1B0-C265571F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433.1307" TargetMode="External"/><Relationship Id="rId13" Type="http://schemas.openxmlformats.org/officeDocument/2006/relationships/hyperlink" Target="garantF1://10800200.250" TargetMode="External"/><Relationship Id="rId18" Type="http://schemas.openxmlformats.org/officeDocument/2006/relationships/hyperlink" Target="garantF1://10800200.2002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74218106.1000" TargetMode="External"/><Relationship Id="rId12" Type="http://schemas.openxmlformats.org/officeDocument/2006/relationships/hyperlink" Target="garantF1://10800200.249" TargetMode="External"/><Relationship Id="rId17" Type="http://schemas.openxmlformats.org/officeDocument/2006/relationships/hyperlink" Target="garantF1://74218106.1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800200.25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3000000.0" TargetMode="External"/><Relationship Id="rId11" Type="http://schemas.openxmlformats.org/officeDocument/2006/relationships/hyperlink" Target="garantF1://10800200.24801" TargetMode="External"/><Relationship Id="rId5" Type="http://schemas.openxmlformats.org/officeDocument/2006/relationships/hyperlink" Target="garantF1://74526898.0" TargetMode="External"/><Relationship Id="rId15" Type="http://schemas.openxmlformats.org/officeDocument/2006/relationships/hyperlink" Target="garantF1://10800200.290" TargetMode="External"/><Relationship Id="rId10" Type="http://schemas.openxmlformats.org/officeDocument/2006/relationships/hyperlink" Target="garantF1://10800200.20025" TargetMode="External"/><Relationship Id="rId19" Type="http://schemas.openxmlformats.org/officeDocument/2006/relationships/hyperlink" Target="garantF1://10800200.2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800200.247" TargetMode="External"/><Relationship Id="rId14" Type="http://schemas.openxmlformats.org/officeDocument/2006/relationships/hyperlink" Target="garantF1://10800200.2502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.panarina\Downloads\&#1055;&#1080;&#1089;&#1100;&#1084;&#1086;%20&#1044;&#1077;&#1087;&#1072;&#1088;&#1090;&#1072;&#1084;&#1077;&#1085;&#1090;&#1072;%20&#1085;&#1072;&#1083;&#1086;&#1075;&#1086;&#1074;&#1086;&#1080;&#774;%20&#1087;&#1086;&#1083;&#1080;&#1090;&#1080;&#1082;&#1080;%20&#1052;&#1080;&#1085;&#1092;&#1080;&#1085;&#1072;%20&#1056;&#1086;&#1089;&#1089;&#1080;&#1080;%20&#1086;&#1090;%201%20&#108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Департамента налоговой политики Минфина России от 1 с</Template>
  <TotalTime>3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4006</CharactersWithSpaces>
  <SharedDoc>false</SharedDoc>
  <HLinks>
    <vt:vector size="90" baseType="variant">
      <vt:variant>
        <vt:i4>5898255</vt:i4>
      </vt:variant>
      <vt:variant>
        <vt:i4>42</vt:i4>
      </vt:variant>
      <vt:variant>
        <vt:i4>0</vt:i4>
      </vt:variant>
      <vt:variant>
        <vt:i4>5</vt:i4>
      </vt:variant>
      <vt:variant>
        <vt:lpwstr>garantf1://10800200.287/</vt:lpwstr>
      </vt:variant>
      <vt:variant>
        <vt:lpwstr/>
      </vt:variant>
      <vt:variant>
        <vt:i4>6291517</vt:i4>
      </vt:variant>
      <vt:variant>
        <vt:i4>39</vt:i4>
      </vt:variant>
      <vt:variant>
        <vt:i4>0</vt:i4>
      </vt:variant>
      <vt:variant>
        <vt:i4>5</vt:i4>
      </vt:variant>
      <vt:variant>
        <vt:lpwstr>garantf1://10800200.20025/</vt:lpwstr>
      </vt:variant>
      <vt:variant>
        <vt:lpwstr/>
      </vt:variant>
      <vt:variant>
        <vt:i4>4784139</vt:i4>
      </vt:variant>
      <vt:variant>
        <vt:i4>36</vt:i4>
      </vt:variant>
      <vt:variant>
        <vt:i4>0</vt:i4>
      </vt:variant>
      <vt:variant>
        <vt:i4>5</vt:i4>
      </vt:variant>
      <vt:variant>
        <vt:lpwstr>garantf1://74218106.1000/</vt:lpwstr>
      </vt:variant>
      <vt:variant>
        <vt:lpwstr/>
      </vt:variant>
      <vt:variant>
        <vt:i4>5701641</vt:i4>
      </vt:variant>
      <vt:variant>
        <vt:i4>33</vt:i4>
      </vt:variant>
      <vt:variant>
        <vt:i4>0</vt:i4>
      </vt:variant>
      <vt:variant>
        <vt:i4>5</vt:i4>
      </vt:variant>
      <vt:variant>
        <vt:lpwstr>garantf1://10800200.251/</vt:lpwstr>
      </vt:variant>
      <vt:variant>
        <vt:lpwstr/>
      </vt:variant>
      <vt:variant>
        <vt:i4>5963784</vt:i4>
      </vt:variant>
      <vt:variant>
        <vt:i4>30</vt:i4>
      </vt:variant>
      <vt:variant>
        <vt:i4>0</vt:i4>
      </vt:variant>
      <vt:variant>
        <vt:i4>5</vt:i4>
      </vt:variant>
      <vt:variant>
        <vt:lpwstr>garantf1://10800200.290/</vt:lpwstr>
      </vt:variant>
      <vt:variant>
        <vt:lpwstr/>
      </vt:variant>
      <vt:variant>
        <vt:i4>6619198</vt:i4>
      </vt:variant>
      <vt:variant>
        <vt:i4>27</vt:i4>
      </vt:variant>
      <vt:variant>
        <vt:i4>0</vt:i4>
      </vt:variant>
      <vt:variant>
        <vt:i4>5</vt:i4>
      </vt:variant>
      <vt:variant>
        <vt:lpwstr>garantf1://10800200.25026/</vt:lpwstr>
      </vt:variant>
      <vt:variant>
        <vt:lpwstr/>
      </vt:variant>
      <vt:variant>
        <vt:i4>5701640</vt:i4>
      </vt:variant>
      <vt:variant>
        <vt:i4>24</vt:i4>
      </vt:variant>
      <vt:variant>
        <vt:i4>0</vt:i4>
      </vt:variant>
      <vt:variant>
        <vt:i4>5</vt:i4>
      </vt:variant>
      <vt:variant>
        <vt:lpwstr>garantf1://10800200.250/</vt:lpwstr>
      </vt:variant>
      <vt:variant>
        <vt:lpwstr/>
      </vt:variant>
      <vt:variant>
        <vt:i4>5636097</vt:i4>
      </vt:variant>
      <vt:variant>
        <vt:i4>21</vt:i4>
      </vt:variant>
      <vt:variant>
        <vt:i4>0</vt:i4>
      </vt:variant>
      <vt:variant>
        <vt:i4>5</vt:i4>
      </vt:variant>
      <vt:variant>
        <vt:lpwstr>garantf1://10800200.249/</vt:lpwstr>
      </vt:variant>
      <vt:variant>
        <vt:lpwstr/>
      </vt:variant>
      <vt:variant>
        <vt:i4>6684721</vt:i4>
      </vt:variant>
      <vt:variant>
        <vt:i4>18</vt:i4>
      </vt:variant>
      <vt:variant>
        <vt:i4>0</vt:i4>
      </vt:variant>
      <vt:variant>
        <vt:i4>5</vt:i4>
      </vt:variant>
      <vt:variant>
        <vt:lpwstr>garantf1://10800200.24801/</vt:lpwstr>
      </vt:variant>
      <vt:variant>
        <vt:lpwstr/>
      </vt:variant>
      <vt:variant>
        <vt:i4>6291517</vt:i4>
      </vt:variant>
      <vt:variant>
        <vt:i4>15</vt:i4>
      </vt:variant>
      <vt:variant>
        <vt:i4>0</vt:i4>
      </vt:variant>
      <vt:variant>
        <vt:i4>5</vt:i4>
      </vt:variant>
      <vt:variant>
        <vt:lpwstr>garantf1://10800200.20025/</vt:lpwstr>
      </vt:variant>
      <vt:variant>
        <vt:lpwstr/>
      </vt:variant>
      <vt:variant>
        <vt:i4>5636111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garantf1://10800200.247/</vt:lpwstr>
      </vt:variant>
      <vt:variant>
        <vt:lpwstr/>
      </vt:variant>
      <vt:variant>
        <vt:i4>4521993</vt:i4>
      </vt:variant>
      <vt:variant>
        <vt:i4>9</vt:i4>
      </vt:variant>
      <vt:variant>
        <vt:i4>0</vt:i4>
      </vt:variant>
      <vt:variant>
        <vt:i4>5</vt:i4>
      </vt:variant>
      <vt:variant>
        <vt:lpwstr>garantf1://12057433.1307/</vt:lpwstr>
      </vt:variant>
      <vt:variant>
        <vt:lpwstr/>
      </vt:variant>
      <vt:variant>
        <vt:i4>4784139</vt:i4>
      </vt:variant>
      <vt:variant>
        <vt:i4>6</vt:i4>
      </vt:variant>
      <vt:variant>
        <vt:i4>0</vt:i4>
      </vt:variant>
      <vt:variant>
        <vt:i4>5</vt:i4>
      </vt:variant>
      <vt:variant>
        <vt:lpwstr>garantf1://74218106.1000/</vt:lpwstr>
      </vt:variant>
      <vt:variant>
        <vt:lpwstr/>
      </vt:variant>
      <vt:variant>
        <vt:i4>5832726</vt:i4>
      </vt:variant>
      <vt:variant>
        <vt:i4>3</vt:i4>
      </vt:variant>
      <vt:variant>
        <vt:i4>0</vt:i4>
      </vt:variant>
      <vt:variant>
        <vt:i4>5</vt:i4>
      </vt:variant>
      <vt:variant>
        <vt:lpwstr>garantf1://3000000.0/</vt:lpwstr>
      </vt:variant>
      <vt:variant>
        <vt:lpwstr/>
      </vt:variant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garantf1://74526898.0/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Панарина Виктория Валерьевна</dc:creator>
  <cp:keywords/>
  <dc:description>Документ экспортирован из системы ГАРАНТ</dc:description>
  <cp:lastModifiedBy/>
  <cp:revision>1</cp:revision>
  <dcterms:created xsi:type="dcterms:W3CDTF">2020-11-09T06:58:00Z</dcterms:created>
  <dcterms:modified xsi:type="dcterms:W3CDTF">1601-01-01T00:00:00Z</dcterms:modified>
</cp:coreProperties>
</file>