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етодик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Российской Федерации на территории Российской Федерации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утвержденную приказом Министерства строительства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жилищно-коммунального хозяйства Российской Федерации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августа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7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</w:t>
      </w:r>
      <w:r>
        <w:rPr>
          <w:rFonts w:ascii="Times New Roman" w:hAnsi="Times New Roman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33 </w:t>
      </w:r>
      <w:r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пунктом 7.5 части 1 </w:t>
      </w:r>
      <w:r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 xml:space="preserve">6, </w:t>
      </w:r>
      <w:r>
        <w:rPr>
          <w:rFonts w:ascii="Times New Roman" w:hAnsi="Times New Roman"/>
          <w:sz w:val="28"/>
          <w:szCs w:val="28"/>
        </w:rPr>
        <w:t xml:space="preserve">частью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статьи 8.3</w:t>
      </w:r>
      <w:r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подпункт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4.23</w:t>
      </w:r>
      <w:r>
        <w:rPr>
          <w:rFonts w:ascii="Times New Roman" w:hAnsi="Times New Roman"/>
          <w:sz w:val="28"/>
          <w:szCs w:val="28"/>
        </w:rPr>
        <w:t xml:space="preserve">(1)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5 </w:t>
      </w:r>
      <w:r>
        <w:rPr>
          <w:rFonts w:ascii="Times New Roman" w:hAnsi="Times New Roman"/>
          <w:sz w:val="28"/>
          <w:szCs w:val="28"/>
        </w:rPr>
        <w:t xml:space="preserve">Положения</w:t>
      </w:r>
      <w:r>
        <w:rPr>
          <w:rFonts w:ascii="Times New Roman" w:hAnsi="Times New Roman"/>
          <w:sz w:val="28"/>
          <w:szCs w:val="28"/>
        </w:rPr>
        <w:t xml:space="preserve"> о Министерстве 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Российской Федерации, утвержденного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2013 г.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1038,</w:t>
      </w:r>
      <w:r>
        <w:rPr>
          <w:rFonts w:ascii="Times New Roman" w:hAnsi="Times New Roman"/>
          <w:spacing w:val="-2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п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р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и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к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а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з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ы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в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а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6"/>
          <w:sz w:val="28"/>
          <w:szCs w:val="28"/>
        </w:rPr>
        <w:t xml:space="preserve">ю</w:t>
      </w:r>
      <w:r>
        <w:rPr>
          <w:rFonts w:ascii="Times New Roman" w:hAnsi="Times New Roman"/>
          <w:spacing w:val="-16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1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1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нести изменения в </w:t>
      </w:r>
      <w:r>
        <w:rPr>
          <w:rFonts w:ascii="Times New Roman" w:hAnsi="Times New Roman"/>
          <w:sz w:val="28"/>
          <w:szCs w:val="28"/>
        </w:rPr>
        <w:t xml:space="preserve">Методику определения сметной стоимости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реконструкции, капитального ремонта, сноса объектов капитального строительства, работ по сохранению объектов 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утвержденную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4 августа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421/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>
        <w:rPr>
          <w:rFonts w:ascii="Times New Roman" w:hAnsi="Times New Roman" w:cs="Times New Roman"/>
          <w:sz w:val="28"/>
          <w:szCs w:val="28"/>
        </w:rPr>
        <w:t xml:space="preserve">59986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изменениями, внесенными приказ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строительства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7 июля 2022 г. № 557/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(зарегистрирован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юстиции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31 августа 2022 г., регистрационный № 69860)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30 января 2024 г. № 55/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марта 2024 г., регистрационный № 77679)</w:t>
      </w:r>
      <w:r>
        <w:rPr>
          <w:rFonts w:ascii="Times New Roman" w:hAnsi="Times New Roman" w:cs="Times New Roman"/>
          <w:sz w:val="28"/>
          <w:szCs w:val="28"/>
        </w:rPr>
        <w:br/>
        <w:t xml:space="preserve">и от 23 января 2025 г. № 30/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>
        <w:rPr>
          <w:rFonts w:ascii="Times New Roman" w:hAnsi="Times New Roman" w:cs="Times New Roman"/>
          <w:sz w:val="28"/>
          <w:szCs w:val="28"/>
        </w:rPr>
        <w:t xml:space="preserve">81529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приказу.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И.Э. </w:t>
      </w:r>
      <w:r>
        <w:rPr>
          <w:rFonts w:ascii="Times New Roman" w:hAnsi="Times New Roman" w:cs="Times New Roman"/>
          <w:sz w:val="28"/>
          <w:szCs w:val="28"/>
        </w:rPr>
        <w:t xml:space="preserve">Файзуллин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Style w:val="760"/>
          <w:sz w:val="28"/>
          <w:szCs w:val="28"/>
          <w:highlight w:val="none"/>
        </w:rPr>
      </w:r>
      <w:r>
        <w:rPr>
          <w:rStyle w:val="76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9"/>
        <w:ind w:left="4395" w:right="142"/>
        <w:jc w:val="center"/>
        <w:spacing w:before="0" w:beforeAutospacing="0" w:after="0" w:afterAutospacing="0" w:line="252" w:lineRule="auto"/>
        <w:shd w:val="clear" w:color="auto" w:fill="ffffff"/>
        <w:rPr>
          <w:rStyle w:val="760"/>
          <w:sz w:val="28"/>
          <w:szCs w:val="28"/>
          <w:highlight w:val="none"/>
        </w:rPr>
      </w:pPr>
      <w:r>
        <w:rPr>
          <w:rStyle w:val="760"/>
          <w:sz w:val="28"/>
          <w:szCs w:val="28"/>
          <w:highlight w:val="none"/>
        </w:rPr>
      </w:r>
      <w:r>
        <w:rPr>
          <w:rStyle w:val="760"/>
          <w:sz w:val="28"/>
          <w:szCs w:val="28"/>
          <w:highlight w:val="none"/>
        </w:rPr>
      </w:r>
    </w:p>
    <w:p>
      <w:pPr>
        <w:pStyle w:val="759"/>
        <w:ind w:left="4395" w:right="142"/>
        <w:jc w:val="center"/>
        <w:spacing w:before="0" w:beforeAutospacing="0" w:after="0" w:afterAutospacing="0" w:line="252" w:lineRule="auto"/>
        <w:shd w:val="clear" w:color="auto" w:fill="ffffff"/>
        <w:rPr>
          <w:rStyle w:val="760"/>
          <w:sz w:val="28"/>
          <w:szCs w:val="28"/>
          <w:highlight w:val="none"/>
        </w:rPr>
      </w:pPr>
      <w:r>
        <w:rPr>
          <w:rStyle w:val="760"/>
          <w:sz w:val="28"/>
          <w:szCs w:val="28"/>
          <w:highlight w:val="none"/>
        </w:rPr>
      </w:r>
      <w:r>
        <w:rPr>
          <w:rStyle w:val="760"/>
          <w:sz w:val="28"/>
          <w:szCs w:val="28"/>
          <w:highlight w:val="none"/>
        </w:rPr>
      </w:r>
    </w:p>
    <w:p>
      <w:pPr>
        <w:pStyle w:val="759"/>
        <w:ind w:left="4395" w:right="142"/>
        <w:jc w:val="center"/>
        <w:spacing w:before="0" w:beforeAutospacing="0" w:after="0" w:afterAutospacing="0" w:line="252" w:lineRule="auto"/>
        <w:shd w:val="clear" w:color="auto" w:fill="ffffff"/>
        <w:rPr>
          <w:rStyle w:val="760"/>
          <w:sz w:val="28"/>
          <w:szCs w:val="28"/>
          <w:highlight w:val="none"/>
        </w:rPr>
      </w:pPr>
      <w:r>
        <w:rPr>
          <w:rStyle w:val="760"/>
          <w:sz w:val="28"/>
          <w:szCs w:val="28"/>
        </w:rPr>
        <w:t xml:space="preserve">Приложение</w:t>
      </w:r>
      <w:r>
        <w:rPr>
          <w:rStyle w:val="760"/>
          <w:sz w:val="28"/>
          <w:szCs w:val="28"/>
          <w:highlight w:val="none"/>
        </w:rPr>
      </w:r>
    </w:p>
    <w:p>
      <w:pPr>
        <w:pStyle w:val="761"/>
        <w:ind w:left="4395" w:right="142"/>
        <w:jc w:val="center"/>
        <w:spacing w:before="0" w:beforeAutospacing="0" w:after="0" w:afterAutospacing="0" w:line="252" w:lineRule="auto"/>
        <w:shd w:val="clear" w:color="auto" w:fill="ffffff"/>
        <w:rPr>
          <w:sz w:val="28"/>
          <w:szCs w:val="28"/>
        </w:rPr>
      </w:pPr>
      <w:r>
        <w:rPr>
          <w:rStyle w:val="760"/>
          <w:sz w:val="28"/>
          <w:szCs w:val="28"/>
        </w:rPr>
        <w:t xml:space="preserve">к </w:t>
      </w:r>
      <w:r>
        <w:rPr>
          <w:rStyle w:val="760"/>
          <w:sz w:val="28"/>
          <w:szCs w:val="28"/>
        </w:rPr>
        <w:t xml:space="preserve">приказ</w:t>
      </w:r>
      <w:r>
        <w:rPr>
          <w:rStyle w:val="760"/>
          <w:sz w:val="28"/>
          <w:szCs w:val="28"/>
        </w:rPr>
        <w:t xml:space="preserve">у</w:t>
      </w:r>
      <w:r>
        <w:rPr>
          <w:rStyle w:val="760"/>
          <w:sz w:val="28"/>
          <w:szCs w:val="28"/>
        </w:rPr>
        <w:t xml:space="preserve"> Министерства строительства</w:t>
      </w:r>
      <w:r>
        <w:rPr>
          <w:rStyle w:val="760"/>
          <w:sz w:val="28"/>
          <w:szCs w:val="28"/>
        </w:rPr>
        <w:br/>
        <w:t xml:space="preserve">и жилищно-коммунального хозяйства Российской Федерации</w:t>
      </w:r>
      <w:r>
        <w:rPr>
          <w:sz w:val="28"/>
          <w:szCs w:val="28"/>
        </w:rPr>
      </w:r>
    </w:p>
    <w:p>
      <w:pPr>
        <w:pStyle w:val="762"/>
        <w:ind w:left="4395" w:right="142"/>
        <w:jc w:val="center"/>
        <w:spacing w:before="0" w:beforeAutospacing="0" w:after="0" w:afterAutospacing="0" w:line="252" w:lineRule="auto"/>
        <w:shd w:val="clear" w:color="auto" w:fill="ffffff"/>
        <w:rPr>
          <w:sz w:val="28"/>
          <w:szCs w:val="28"/>
        </w:rPr>
      </w:pPr>
      <w:r>
        <w:rPr>
          <w:rStyle w:val="760"/>
          <w:sz w:val="28"/>
          <w:szCs w:val="28"/>
        </w:rPr>
        <w:t xml:space="preserve">от ______________ № ________</w:t>
      </w:r>
      <w:r>
        <w:rPr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Calibri" w:hAnsi="Calibri" w:eastAsia="Times New Roman" w:cs="Calibri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ИЗМЕНЕНИЯ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которые вносятся в Методику определения сметной стоимости строительства, реконструкции, капит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ального ремонта, сноса объектов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капитального строительства, работ по сохранению объектов культурного наследия (памятников истории и культуры) народов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Российской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Федерации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территории Российской Федерации, утвержденную приказом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Министерства строительства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жилищно-коммунального хозяйства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августа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421/пр</w:t>
      </w:r>
      <w:r>
        <w:rPr>
          <w:rFonts w:ascii="Calibri" w:hAnsi="Calibri" w:eastAsia="Times New Roman" w:cs="Calibri"/>
          <w:szCs w:val="20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14: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четвертый дополнить предложением следу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 объектам капитального строительства, для которых проведение государственной экспертизы проектной документации проводится в 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постановлением Правит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ельства Российской Федерации 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февраля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223 «Об утверждении особенностей проведе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государственной экспертизы проектной документации объектов капитального строительства, строительство, реконструкция которых осуществляются в рамках реализации проектов (объектов капитального строительства) с особым статусом, необходимых для обеспечения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обороноспособности и безопасности государства, объектов капитального строительства, создаваемых для нужд Вооруженных Сил Российской Федерации, объектов капиталь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строительства, необходимых для обеспечения деятельности объектов государственной охраны, выдачи разрешений на строительство указанных объектов капитального строительства, разрешений на ввод указанных объектов капитального строительства в эксплуатацию»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Постановление № 223)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документы, обосновывающие стоимость технологического оборудования в текущих ценах, должны быть получены в период, не превышающий 12 месяцев до момента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пределения сметной стоимости.»;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шестой 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</w:t>
      </w:r>
      <w:r>
        <w:rPr>
          <w:rFonts w:ascii="Times New Roman" w:hAnsi="Times New Roman" w:cs="Times New Roman"/>
          <w:sz w:val="28"/>
          <w:szCs w:val="28"/>
        </w:rPr>
        <w:t xml:space="preserve">выполнении конъюнктурного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в составе обосновывающих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 xml:space="preserve">одн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из таких обосновывающих документов представляется предложение, полученное от п</w:t>
      </w:r>
      <w:r>
        <w:rPr>
          <w:rFonts w:ascii="Times New Roman" w:hAnsi="Times New Roman" w:cs="Times New Roman"/>
          <w:sz w:val="28"/>
          <w:szCs w:val="28"/>
        </w:rPr>
        <w:t xml:space="preserve">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(или его официального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тсутстви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пред</w:t>
      </w:r>
      <w:r>
        <w:rPr>
          <w:rFonts w:ascii="Times New Roman" w:hAnsi="Times New Roman" w:cs="Times New Roman"/>
          <w:sz w:val="28"/>
          <w:szCs w:val="28"/>
        </w:rPr>
        <w:t xml:space="preserve">став</w:t>
      </w:r>
      <w:r>
        <w:rPr>
          <w:rFonts w:ascii="Times New Roman" w:hAnsi="Times New Roman" w:cs="Times New Roman"/>
          <w:sz w:val="28"/>
          <w:szCs w:val="28"/>
        </w:rPr>
        <w:t xml:space="preserve">ления</w:t>
      </w:r>
      <w:r>
        <w:rPr>
          <w:rFonts w:ascii="Times New Roman" w:hAnsi="Times New Roman" w:cs="Times New Roman"/>
          <w:sz w:val="28"/>
          <w:szCs w:val="28"/>
        </w:rPr>
        <w:t xml:space="preserve"> в составе 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данных,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(или его официальн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письмом заказчика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приложением запроса, направленного производителю</w:t>
      </w:r>
      <w:r>
        <w:rPr>
          <w:rFonts w:ascii="Times New Roman" w:hAnsi="Times New Roman" w:cs="Times New Roman"/>
          <w:sz w:val="28"/>
          <w:szCs w:val="28"/>
        </w:rPr>
        <w:t xml:space="preserve"> такого оборудования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(или его официальному 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ункт 15 после слов «(далее – НДС)» дополнить словами «, а также размер НДС».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пунктом 38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Сметные расчеты на затраты, предусмотренные подпунктами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пункта 171 Методики, включаются в сводную смету на проектные работы и работы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инженерным изысканиям. Рекомендуемый образец сводной сметы на проектные работы и работы по инженерным изысканиям, приведен в Приложении № 11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Методике.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Сводная смета на проектные работы и работы по инженерным изысканиям содержит буквенное обозначение – ССПИР. В случае,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огда подготовка проектной документации по инициативе заказчика осуществляется применительно к отдельным этапам строительства, сводной смете на проектные работы и работы по инженерным изысканиям присваивается также номер этапа строительства. Например, ССПИР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(этап 1).».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52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абзац шестнадцатый дополнить предложением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Применение более одного коэффициента, учитывающего повышенный размер оплаты труда, приведенного в таблицах 2 (при строительстве объектов капитального строительства), 4 (при реконструкции объектов капитального строительства),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(при капитальном ремонте объектов капитального строительства)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8 (при пусконаладочных работах) Приложения № 10 к Методике, не допускается.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абзаце девятнадцатом слова «не применяется» заменить словом «применяется».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59: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подпункт «д»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работы по реконструкции и капитальному ремонту автомобильных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железных дорог и искусственных сооружений на них;»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подпункт «е»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 60 признать утратившим силу.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ункт 60.1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слов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показателям оплаты труда рабочих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пусконаладочного персонала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 179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«179. Резерв средств на непредвиденные работы и затраты предусматривае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сметной документации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устанавливает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лимит возмещения стоимости работ и затрат, потребность в которых возникает в ходе строительства, реконструкции, капитального ремонта, сноса объектов капитального строительства, работ по сохранению объектов культурного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которых затрагиваются конструктивные и иные характеристики надежности и безопасности таких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уточнения технических решений и (или) условий выполнения работ,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затрат, которые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были учтены сметной документацией, но которые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Методикой допускается учитывать в главах 9 и 10 сводного сметного расчета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следующие виды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затрат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пусконаладочные работы «вхолостую» и (или) «под нагрузкой»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командирование рабочих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пусконаладочного персонала, привлекаемых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выполнения строительства,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перебазировку машин от места, определенного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подрядным договором,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 территории строительства и обратно, в случае отсутствия перечисленных специалистов в регионе строительства и месте, указанном в проектной документации, на основании расчета с учетом логистической составляющей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 </w:t>
      </w:r>
      <w:r>
        <w:rPr>
          <w:rFonts w:ascii="Times New Roman" w:hAnsi="Times New Roman"/>
          <w:sz w:val="28"/>
          <w:szCs w:val="28"/>
        </w:rPr>
        <w:t xml:space="preserve">предварительную укрупнительную сборку оборудования, поступившего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строительную площадку россыпью из отдельных узлов и деталей,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другие затраты, связанные с доведением оборудования до состояния пригодного для использования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выявленные неучтенные ранее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(или) изменившиеся усложняющие факторы, условия и методы производства работ при реализации проектов 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объектам с «особым статусом»,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предусмотренным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остановлением № 223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 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проведение строительного контроля, сверх предусмотренного на стадии проектирования срока выполнения 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 средств на непредвиденные работы и затраты определяется заказчиком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согласованию с главным распорядителем средств соответствующего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случаев, когда заказчиком является главный распорядитель бюджетных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средств) в следующих размерах: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2 (два) процента – для объектов капитального строительства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непроизводственного назначения;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3 (три) процента – для объектов капитального строительства производственного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назначения, линейных объектов;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10 (десять) процентов – для уникальных, особо опасных и технически сложных объектов капитального строите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льства, предусмотренных статьей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48.1 Градостроительног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кодекса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10 (десять) процентов – для объектов капитального строительства, проведение государственной экспе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ртизы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оектной документации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 проводится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остановлением № 223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 средств на непредвиденные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аботы и затраты определяется 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главам 1–12 сводного сметного расче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и учитывается за итогом глав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1–12 сводного сметного расчета отдель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ной строкой с распределением по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графам 4–8.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определении сметной стоимости строительства объекта капитального строительства, в наименовании которого указан объект, приведенный в подпунктах «а»–«б»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ящего пункта, в состав которого входят два и более объекта капитального строительства, один или несколько из которых являются уникальными, особо опасными или технически сложными объектами капитального строительства, предусмотренными статьей 48.1 Градострои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тельного кодекса Российской Федерации, резерв средств на непредвиденные работы и затраты для таких уникальных, особо опасных или технически сложных объектов капитального строительства определяется в соответствии с подпунктом «в» настоящего пункта Методики.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ункт 187 дополнить абзацами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внесения по решению застройщика изменений в сметную документацию, разработанную на </w:t>
      </w:r>
      <w:r>
        <w:rPr>
          <w:rFonts w:ascii="Times New Roman" w:hAnsi="Times New Roman" w:cs="Times New Roman"/>
          <w:sz w:val="28"/>
          <w:szCs w:val="28"/>
        </w:rPr>
        <w:t xml:space="preserve">основании сметных нормативов и сметных цен строительных ресурсов в текущем уровне цен и (или) в уровне цен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1 января 2022 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 физических объемов работ,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конструктивных, организационных-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технологических и других решений, предусмотренных проектной документацией (актом, утвержденным застройщиком или техническим заказчиком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содержащим перечень дефектов оснований, строительных конструкций, систем </w:t>
      </w:r>
      <w:r>
        <w:rPr>
          <w:rFonts w:ascii="Times New Roman" w:hAnsi="Times New Roman" w:cs="Times New Roman"/>
          <w:sz w:val="28"/>
          <w:szCs w:val="28"/>
        </w:rPr>
        <w:t xml:space="preserve">инженерно-технического обеспечения и сетей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указанием качественных и количественных характеристик таких дефектов,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заданием на проектирование в зависимости от содержания работ) после получения положительного заключения государственной экспертизы, но до даты заключения государственного (муници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пального) контракта (договора), предметом которого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 (памятников истории и культуры) народов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в связи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сметных цен строительных ресурсов в текущем уровне цен и </w:t>
      </w:r>
      <w:r>
        <w:rPr>
          <w:rFonts w:ascii="Times New Roman" w:hAnsi="Times New Roman" w:cs="Times New Roman"/>
          <w:sz w:val="28"/>
          <w:szCs w:val="28"/>
        </w:rPr>
        <w:t xml:space="preserve">индексов изменения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группам однородных строительных ресурсов, размещенных в ФГИС ЦС, действующих на дату пересчета сметной стоимости,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сметной стоимости строительства объектов капитального строительства в </w:t>
      </w:r>
      <w:r>
        <w:rPr>
          <w:rFonts w:ascii="Times New Roman" w:hAnsi="Times New Roman" w:cs="Times New Roman"/>
          <w:sz w:val="28"/>
          <w:szCs w:val="28"/>
        </w:rPr>
        <w:t xml:space="preserve">текущем уровне цен выполняется: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материальных ресурсов и оборудования, учтенных в сметной документации с применением сметных цен в базисном уровне цен по состоянию на 1 января 2022 г., –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сметных цен в текущем уровне цен, размещенных в ФГИС ЦС, действующих на дату пересчета сметной стоимости,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при их отсутствии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соответствующих индексов изменения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группам однородных строительных ресурсов, размещенных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ФГИС ЦС, действующих на дату пересчета сметной стоимости, а в случае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отсутствия – с применением к текущей стоимости соответствующих ресурсов, указанной в сметной документации, получившей положительное заключение государственной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индексов фактической инфляции;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материальных ресурсов и оборудования, учтенных в сметной документации с применением сметных цен в текущем уровне цен, размещенных в ФГИС ЦС, 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сметных цен в текущем уровне цен, размещенных в ФГИС ЦС, действующих на дату пересчета сметной стоимости, а при их отсутствии 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сметных цен в базисном уровне цен по состоянию на 1 января 2022 г. и соответствующих индексов изменения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группам однородных строительных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размещенных в ФГИС ЦС, действующих на дату пересчета сметной стоимости, а в случае их отсутствия – с применением к текущей стоимости соответствующих ресурсов, указанной в сметной документации, получившей положительное заключение государственной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индексов фактической инфляции;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материальных ресурсов и оборудования, работ (услуг), учтенных в сметной документации по данным конъюнктурного анализа – с применением к текущей стоимости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ресурсов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работ (услуг)</w:t>
      </w:r>
      <w:r>
        <w:rPr>
          <w:rFonts w:ascii="Times New Roman" w:hAnsi="Times New Roman" w:cs="Times New Roman"/>
          <w:sz w:val="28"/>
          <w:szCs w:val="28"/>
        </w:rPr>
        <w:t xml:space="preserve">, указанной в сметной документации, получившей по</w:t>
      </w:r>
      <w:r>
        <w:rPr>
          <w:rFonts w:ascii="Times New Roman" w:hAnsi="Times New Roman" w:cs="Times New Roman"/>
          <w:sz w:val="28"/>
          <w:szCs w:val="28"/>
        </w:rPr>
        <w:t xml:space="preserve">ложительное заключение государственной экспертизы, индексов фактической инфляции. Стоимость таких материальных ресурсов и оборудования также может быть определена по результатам конъюнктурного анализа текущих цен таких ресурсов, выполненного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пунктами 13–22 Методики, в случае, если такое решени</w:t>
      </w:r>
      <w:r>
        <w:rPr>
          <w:rFonts w:ascii="Times New Roman" w:hAnsi="Times New Roman" w:cs="Times New Roman"/>
          <w:sz w:val="28"/>
          <w:szCs w:val="28"/>
        </w:rPr>
        <w:t xml:space="preserve">е принято заказчиком;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материальных ресурсов и оборудования, для которых сметные цены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базисном уровне цен по состоянию на 1 января 2022 г. или в текущем уровне цен, размещенные в ФГИС ЦС, действующие на дату пересчета сметной стоимости, </w:t>
      </w:r>
      <w:r>
        <w:rPr>
          <w:rFonts w:ascii="Times New Roman" w:hAnsi="Times New Roman" w:cs="Times New Roman"/>
          <w:sz w:val="28"/>
          <w:szCs w:val="28"/>
        </w:rPr>
        <w:t xml:space="preserve">указаны за единицу измерения отличную от указанной в сметной документации, получившей положительное заключение государственной экспертизы, 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к текущей стоимости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ресурсов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, указанной в сметной документации, получившей положительное заключение государственной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индексов фактической инфляции;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затрат на эксплуатацию машин и механизмов, учтенных в сметной документации с применением сметных цен в базисном уровне цен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1 января 2022 г. – с применением </w:t>
      </w:r>
      <w:r>
        <w:rPr>
          <w:rFonts w:ascii="Times New Roman" w:hAnsi="Times New Roman" w:cs="Times New Roman"/>
          <w:sz w:val="28"/>
          <w:szCs w:val="28"/>
        </w:rPr>
        <w:t xml:space="preserve">сметных цен в текущем уровне цен, размещенных в ФГИС ЦС, действующих на дату пересчета сметной стоимости, а при их отсутствии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индексов изменения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группам однородных строительных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размещенных в ФГИС ЦС, действующих на дату пересчета сметной стоимости, а в случае их отсутствия – с применением к текущей стоимости соответствующих ресурсов, указанной в сметной документации, получившей положительное заключение государственной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индексов фактической инфляции;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sz w:val="28"/>
          <w:szCs w:val="28"/>
        </w:rPr>
        <w:t xml:space="preserve">эксплуатаци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машин и механизмов, учтенных в сметной документации с применением сметных цен в текущем уровне цен, размещенных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ФГИС ЦС, – с применением сметных цен в текущем уровне цен, размещенных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ФГИС ЦС, действующих на дату пересчета сметной стоимости, а при их отсутствии – сметных цен в базисном уровне цен по состоянию на 1 января 2022 г. и индексов изменения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группам однородных строительных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размещенных в ФГИС ЦС, действующих на дату пересчета сметной стоимости, а в случае их отсутствия – с применением к текущей стоимости соответствующих ресурсов, указанной в сметной документации, получившей положительное заключение государственной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индексов фактической инфляции;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затрат труда, учтенных в сметной документации на основании сметных цен на затраты труда работников в строительстве, размещенных в ФГИС ЦС, 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сметных цен на затраты труда работников в строительстве, размещенных в ФГИС ЦС, действующих на да</w:t>
      </w:r>
      <w:r>
        <w:rPr>
          <w:rFonts w:ascii="Times New Roman" w:hAnsi="Times New Roman" w:cs="Times New Roman"/>
          <w:sz w:val="28"/>
          <w:szCs w:val="28"/>
        </w:rPr>
        <w:t xml:space="preserve">ту пересчета сметной стоимости;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прочих работ и затрат, включенных в сметную документацию, получившую положительное заключение государственной экспертизы – индексов фактической инфляции.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по решению застройщика изменений в сметную </w:t>
      </w:r>
      <w:r>
        <w:rPr>
          <w:rFonts w:ascii="Times New Roman" w:hAnsi="Times New Roman" w:cs="Times New Roman"/>
          <w:sz w:val="28"/>
          <w:szCs w:val="28"/>
        </w:rPr>
        <w:t xml:space="preserve">документацию, разработанную на основании ранее действовавших сметных нормативов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сметных цен строительных ресурсов в текущем уровне цен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в уровне цен по состоянию на 1 января 2022 г., без изменений физических объемов работ, конструктивных, организационных-технологических и других решений, предусмотренных проект</w:t>
      </w:r>
      <w:r>
        <w:rPr>
          <w:rFonts w:ascii="Times New Roman" w:hAnsi="Times New Roman" w:cs="Times New Roman"/>
          <w:sz w:val="28"/>
          <w:szCs w:val="28"/>
        </w:rPr>
        <w:t xml:space="preserve">ной документацией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количественных характеристик таких дефектов, и заданием на проектирование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содержания работ) после получения положительного заключения государственной экспертизы, но до даты заключения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(муниципального) контракта (договора), предметом которого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</w:t>
      </w:r>
      <w:r>
        <w:rPr>
          <w:rFonts w:ascii="Times New Roman" w:hAnsi="Times New Roman" w:cs="Times New Roman"/>
          <w:sz w:val="28"/>
          <w:szCs w:val="28"/>
        </w:rPr>
        <w:t xml:space="preserve">едия (памятников истории и культуры) народов Российской Федерации, пересчет сметной стоимости строительства объектов капитального строительства выполняется с учетом сметных нормативов, сведения о которых внесены в ФРСН, и сметных цен строительных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141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наименовании граф 17–19 таблицы, приведенной в Приложении № 1, символы «- 121» исключить.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992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6</w:t>
    </w:r>
    <w:r>
      <w:rPr>
        <w:rFonts w:ascii="Times New Roman" w:hAnsi="Times New Roman"/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44" w:hanging="180"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7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2" w:hanging="825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4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1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7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03" w:hanging="18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5" w:hanging="18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02" w:hanging="825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4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1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7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03" w:hanging="180"/>
      </w:p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7"/>
  </w:num>
  <w:num w:numId="2">
    <w:abstractNumId w:val="34"/>
  </w:num>
  <w:num w:numId="3">
    <w:abstractNumId w:val="26"/>
  </w:num>
  <w:num w:numId="4">
    <w:abstractNumId w:val="2"/>
  </w:num>
  <w:num w:numId="5">
    <w:abstractNumId w:val="29"/>
  </w:num>
  <w:num w:numId="6">
    <w:abstractNumId w:val="18"/>
  </w:num>
  <w:num w:numId="7">
    <w:abstractNumId w:val="31"/>
  </w:num>
  <w:num w:numId="8">
    <w:abstractNumId w:val="5"/>
  </w:num>
  <w:num w:numId="9">
    <w:abstractNumId w:val="12"/>
  </w:num>
  <w:num w:numId="10">
    <w:abstractNumId w:val="3"/>
  </w:num>
  <w:num w:numId="11">
    <w:abstractNumId w:val="8"/>
  </w:num>
  <w:num w:numId="12">
    <w:abstractNumId w:val="21"/>
  </w:num>
  <w:num w:numId="13">
    <w:abstractNumId w:val="7"/>
  </w:num>
  <w:num w:numId="14">
    <w:abstractNumId w:val="24"/>
  </w:num>
  <w:num w:numId="15">
    <w:abstractNumId w:val="16"/>
  </w:num>
  <w:num w:numId="16">
    <w:abstractNumId w:val="0"/>
  </w:num>
  <w:num w:numId="17">
    <w:abstractNumId w:val="36"/>
  </w:num>
  <w:num w:numId="18">
    <w:abstractNumId w:val="6"/>
  </w:num>
  <w:num w:numId="19">
    <w:abstractNumId w:val="33"/>
  </w:num>
  <w:num w:numId="20">
    <w:abstractNumId w:val="22"/>
  </w:num>
  <w:num w:numId="21">
    <w:abstractNumId w:val="19"/>
  </w:num>
  <w:num w:numId="22">
    <w:abstractNumId w:val="15"/>
  </w:num>
  <w:num w:numId="23">
    <w:abstractNumId w:val="25"/>
  </w:num>
  <w:num w:numId="24">
    <w:abstractNumId w:val="32"/>
  </w:num>
  <w:num w:numId="25">
    <w:abstractNumId w:val="20"/>
  </w:num>
  <w:num w:numId="26">
    <w:abstractNumId w:val="35"/>
  </w:num>
  <w:num w:numId="27">
    <w:abstractNumId w:val="9"/>
  </w:num>
  <w:num w:numId="28">
    <w:abstractNumId w:val="17"/>
  </w:num>
  <w:num w:numId="29">
    <w:abstractNumId w:val="13"/>
  </w:num>
  <w:num w:numId="30">
    <w:abstractNumId w:val="11"/>
  </w:num>
  <w:num w:numId="31">
    <w:abstractNumId w:val="1"/>
  </w:num>
  <w:num w:numId="32">
    <w:abstractNumId w:val="30"/>
  </w:num>
  <w:num w:numId="33">
    <w:abstractNumId w:val="10"/>
  </w:num>
  <w:num w:numId="34">
    <w:abstractNumId w:val="28"/>
  </w:num>
  <w:num w:numId="35">
    <w:abstractNumId w:val="14"/>
  </w:num>
  <w:num w:numId="36">
    <w:abstractNumId w:val="23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5"/>
    <w:next w:val="7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5"/>
    <w:next w:val="7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5"/>
    <w:next w:val="7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5"/>
    <w:next w:val="7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5"/>
    <w:next w:val="7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5"/>
    <w:next w:val="7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5"/>
    <w:next w:val="7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5"/>
    <w:next w:val="7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5"/>
    <w:next w:val="7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5"/>
    <w:next w:val="7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6"/>
    <w:link w:val="34"/>
    <w:uiPriority w:val="10"/>
    <w:rPr>
      <w:sz w:val="48"/>
      <w:szCs w:val="48"/>
    </w:rPr>
  </w:style>
  <w:style w:type="paragraph" w:styleId="36">
    <w:name w:val="Subtitle"/>
    <w:basedOn w:val="755"/>
    <w:next w:val="7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6"/>
    <w:link w:val="36"/>
    <w:uiPriority w:val="11"/>
    <w:rPr>
      <w:sz w:val="24"/>
      <w:szCs w:val="24"/>
    </w:rPr>
  </w:style>
  <w:style w:type="paragraph" w:styleId="38">
    <w:name w:val="Quote"/>
    <w:basedOn w:val="755"/>
    <w:next w:val="7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5"/>
    <w:next w:val="7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6"/>
    <w:link w:val="765"/>
    <w:uiPriority w:val="99"/>
  </w:style>
  <w:style w:type="character" w:styleId="45">
    <w:name w:val="Footer Char"/>
    <w:basedOn w:val="756"/>
    <w:link w:val="774"/>
    <w:uiPriority w:val="99"/>
  </w:style>
  <w:style w:type="paragraph" w:styleId="46">
    <w:name w:val="Caption"/>
    <w:basedOn w:val="755"/>
    <w:next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4"/>
    <w:uiPriority w:val="99"/>
  </w:style>
  <w:style w:type="table" w:styleId="49">
    <w:name w:val="Table Grid Light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83"/>
    <w:uiPriority w:val="99"/>
    <w:rPr>
      <w:sz w:val="18"/>
    </w:rPr>
  </w:style>
  <w:style w:type="paragraph" w:styleId="178">
    <w:name w:val="endnote text"/>
    <w:basedOn w:val="7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6"/>
    <w:uiPriority w:val="99"/>
    <w:semiHidden/>
    <w:unhideWhenUsed/>
    <w:rPr>
      <w:vertAlign w:val="superscript"/>
    </w:rPr>
  </w:style>
  <w:style w:type="paragraph" w:styleId="181">
    <w:name w:val="toc 1"/>
    <w:basedOn w:val="755"/>
    <w:next w:val="7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5"/>
    <w:next w:val="7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5"/>
    <w:next w:val="7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5"/>
    <w:next w:val="7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5"/>
    <w:next w:val="7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5"/>
    <w:next w:val="7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5"/>
    <w:next w:val="7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5"/>
    <w:next w:val="7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5"/>
    <w:next w:val="7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5"/>
    <w:next w:val="755"/>
    <w:uiPriority w:val="99"/>
    <w:unhideWhenUsed/>
    <w:pPr>
      <w:spacing w:after="0" w:afterAutospacing="0"/>
    </w:pPr>
  </w:style>
  <w:style w:type="paragraph" w:styleId="755" w:default="1">
    <w:name w:val="Normal"/>
    <w:qFormat/>
  </w:style>
  <w:style w:type="character" w:styleId="756" w:default="1">
    <w:name w:val="Default Paragraph Font"/>
    <w:uiPriority w:val="1"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paragraph" w:styleId="759" w:customStyle="1">
    <w:name w:val="pt-10"/>
    <w:basedOn w:val="75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0" w:customStyle="1">
    <w:name w:val="pt-a0"/>
    <w:basedOn w:val="756"/>
    <w:qFormat/>
  </w:style>
  <w:style w:type="paragraph" w:styleId="761" w:customStyle="1">
    <w:name w:val="pt-10-000000"/>
    <w:basedOn w:val="75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2" w:customStyle="1">
    <w:name w:val="pt-10-000001"/>
    <w:basedOn w:val="75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3">
    <w:name w:val="annotation text"/>
    <w:basedOn w:val="755"/>
    <w:link w:val="76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64" w:customStyle="1">
    <w:name w:val="Текст примечания Знак"/>
    <w:basedOn w:val="756"/>
    <w:link w:val="763"/>
    <w:uiPriority w:val="99"/>
    <w:semiHidden/>
    <w:rPr>
      <w:sz w:val="20"/>
      <w:szCs w:val="20"/>
    </w:rPr>
  </w:style>
  <w:style w:type="paragraph" w:styleId="765">
    <w:name w:val="Header"/>
    <w:basedOn w:val="755"/>
    <w:link w:val="7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6" w:customStyle="1">
    <w:name w:val="Верхний колонтитул Знак"/>
    <w:basedOn w:val="756"/>
    <w:link w:val="765"/>
    <w:uiPriority w:val="99"/>
  </w:style>
  <w:style w:type="character" w:styleId="767">
    <w:name w:val="annotation reference"/>
    <w:uiPriority w:val="99"/>
    <w:semiHidden/>
    <w:unhideWhenUsed/>
    <w:rPr>
      <w:sz w:val="16"/>
      <w:szCs w:val="16"/>
    </w:rPr>
  </w:style>
  <w:style w:type="paragraph" w:styleId="768">
    <w:name w:val="Balloon Text"/>
    <w:basedOn w:val="755"/>
    <w:link w:val="76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69" w:customStyle="1">
    <w:name w:val="Текст выноски Знак"/>
    <w:basedOn w:val="756"/>
    <w:link w:val="768"/>
    <w:uiPriority w:val="99"/>
    <w:semiHidden/>
    <w:rPr>
      <w:rFonts w:ascii="Segoe UI" w:hAnsi="Segoe UI" w:cs="Segoe UI"/>
      <w:sz w:val="18"/>
      <w:szCs w:val="18"/>
    </w:rPr>
  </w:style>
  <w:style w:type="character" w:styleId="770">
    <w:name w:val="Placeholder Text"/>
    <w:basedOn w:val="756"/>
    <w:uiPriority w:val="99"/>
    <w:semiHidden/>
    <w:rPr>
      <w:color w:val="808080"/>
    </w:rPr>
  </w:style>
  <w:style w:type="paragraph" w:styleId="771">
    <w:name w:val="List Paragraph"/>
    <w:basedOn w:val="755"/>
    <w:uiPriority w:val="34"/>
    <w:qFormat/>
    <w:pPr>
      <w:contextualSpacing/>
      <w:ind w:left="720"/>
    </w:pPr>
  </w:style>
  <w:style w:type="paragraph" w:styleId="772">
    <w:name w:val="annotation subject"/>
    <w:basedOn w:val="763"/>
    <w:next w:val="763"/>
    <w:link w:val="773"/>
    <w:uiPriority w:val="99"/>
    <w:semiHidden/>
    <w:unhideWhenUsed/>
    <w:rPr>
      <w:b/>
      <w:bCs/>
    </w:rPr>
  </w:style>
  <w:style w:type="character" w:styleId="773" w:customStyle="1">
    <w:name w:val="Тема примечания Знак"/>
    <w:basedOn w:val="764"/>
    <w:link w:val="772"/>
    <w:uiPriority w:val="99"/>
    <w:semiHidden/>
    <w:rPr>
      <w:b/>
      <w:bCs/>
      <w:sz w:val="20"/>
      <w:szCs w:val="20"/>
    </w:rPr>
  </w:style>
  <w:style w:type="paragraph" w:styleId="774">
    <w:name w:val="Footer"/>
    <w:basedOn w:val="755"/>
    <w:link w:val="7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75" w:customStyle="1">
    <w:name w:val="Нижний колонтитул Знак"/>
    <w:basedOn w:val="756"/>
    <w:link w:val="774"/>
    <w:uiPriority w:val="99"/>
  </w:style>
  <w:style w:type="character" w:styleId="776">
    <w:name w:val="Hyperlink"/>
    <w:basedOn w:val="756"/>
    <w:uiPriority w:val="99"/>
    <w:unhideWhenUsed/>
    <w:rPr>
      <w:color w:val="0563c1" w:themeColor="hyperlink"/>
      <w:u w:val="single"/>
    </w:rPr>
  </w:style>
  <w:style w:type="paragraph" w:styleId="777">
    <w:name w:val="Revision"/>
    <w:hidden/>
    <w:uiPriority w:val="99"/>
    <w:semiHidden/>
    <w:pPr>
      <w:spacing w:after="0" w:line="240" w:lineRule="auto"/>
    </w:pPr>
  </w:style>
  <w:style w:type="paragraph" w:styleId="778" w:customStyle="1">
    <w:name w:val="ConsPlusNormal"/>
    <w:link w:val="780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780" w:customStyle="1">
    <w:name w:val="ConsPlusNormal Знак"/>
    <w:link w:val="778"/>
    <w:rPr>
      <w:rFonts w:ascii="Calibri" w:hAnsi="Calibri" w:eastAsia="Times New Roman" w:cs="Calibri"/>
      <w:szCs w:val="20"/>
      <w:lang w:eastAsia="ru-RU"/>
    </w:rPr>
  </w:style>
  <w:style w:type="paragraph" w:styleId="781">
    <w:name w:val="Normal (Web)"/>
    <w:basedOn w:val="755"/>
    <w:uiPriority w:val="99"/>
    <w:unhideWhenUsed/>
    <w:rPr>
      <w:rFonts w:ascii="Times New Roman" w:hAnsi="Times New Roman" w:cs="Times New Roman"/>
      <w:sz w:val="24"/>
      <w:szCs w:val="24"/>
    </w:rPr>
  </w:style>
  <w:style w:type="table" w:styleId="782">
    <w:name w:val="Table Grid"/>
    <w:basedOn w:val="75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3">
    <w:name w:val="footnote text"/>
    <w:basedOn w:val="755"/>
    <w:link w:val="78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84" w:customStyle="1">
    <w:name w:val="Текст сноски Знак"/>
    <w:basedOn w:val="756"/>
    <w:link w:val="783"/>
    <w:uiPriority w:val="99"/>
    <w:semiHidden/>
    <w:rPr>
      <w:sz w:val="20"/>
      <w:szCs w:val="20"/>
    </w:rPr>
  </w:style>
  <w:style w:type="character" w:styleId="785">
    <w:name w:val="footnote reference"/>
    <w:basedOn w:val="756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DBAF-46F8-47BF-A8F3-FBF617ED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Екатерина Константиновна</dc:creator>
  <cp:keywords/>
  <dc:description/>
  <cp:lastModifiedBy>kerim.durdyev</cp:lastModifiedBy>
  <cp:revision>3</cp:revision>
  <dcterms:created xsi:type="dcterms:W3CDTF">2025-10-14T09:35:00Z</dcterms:created>
  <dcterms:modified xsi:type="dcterms:W3CDTF">2025-10-15T14:56:41Z</dcterms:modified>
</cp:coreProperties>
</file>